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577566" w:rsidRPr="001A7722" w:rsidRDefault="001D246B" w:rsidP="00F1604F">
      <w:pPr>
        <w:pStyle w:val="lfej"/>
        <w:tabs>
          <w:tab w:val="clear" w:pos="4536"/>
          <w:tab w:val="clear" w:pos="9072"/>
          <w:tab w:val="left" w:pos="4860"/>
        </w:tabs>
        <w:jc w:val="both"/>
        <w:rPr>
          <w:sz w:val="26"/>
          <w:szCs w:val="26"/>
        </w:rPr>
      </w:pPr>
      <w:r w:rsidRPr="001D246B">
        <w:rPr>
          <w:rFonts w:eastAsia="TimesNewRomanPS-ItalicMT"/>
          <w:iCs/>
          <w:color w:val="000000"/>
          <w:sz w:val="26"/>
          <w:szCs w:val="26"/>
        </w:rPr>
        <w:t>A Tiszaújvárosi Sportcentrum területén egyedi öntözőkút létesítése kútaknával, kútgépészettel, búvárszivattyúval, automata locsolórendszerre való csatlakozás kialakításával.</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716970" w:rsidRPr="00716970" w:rsidRDefault="00716970" w:rsidP="00716970">
      <w:pPr>
        <w:autoSpaceDE w:val="0"/>
        <w:autoSpaceDN w:val="0"/>
        <w:adjustRightInd w:val="0"/>
        <w:jc w:val="both"/>
        <w:rPr>
          <w:rFonts w:eastAsia="TimesNewRomanPS-ItalicMT"/>
          <w:iCs/>
          <w:color w:val="000000"/>
          <w:sz w:val="26"/>
          <w:szCs w:val="26"/>
        </w:rPr>
      </w:pPr>
      <w:r w:rsidRPr="00716970">
        <w:rPr>
          <w:rFonts w:eastAsia="TimesNewRomanPS-ItalicMT"/>
          <w:iCs/>
          <w:color w:val="000000"/>
          <w:sz w:val="26"/>
          <w:szCs w:val="26"/>
        </w:rPr>
        <w:t>A Tiszaújvárosi Sportcentrum területén egyedi öntözőkút létesítése kútaknával, kútgépészettel, búvárszivattyúval, automata locsolórendszerre való csatlakozás kialakításával.</w:t>
      </w:r>
    </w:p>
    <w:p w:rsidR="00910747" w:rsidRDefault="00910747" w:rsidP="00CB699B">
      <w:pPr>
        <w:pStyle w:val="lfej"/>
        <w:tabs>
          <w:tab w:val="clear" w:pos="4536"/>
          <w:tab w:val="clear" w:pos="9072"/>
          <w:tab w:val="left" w:pos="4860"/>
        </w:tabs>
        <w:jc w:val="both"/>
        <w:rPr>
          <w:b/>
          <w:sz w:val="26"/>
          <w:szCs w:val="26"/>
        </w:rPr>
      </w:pP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kezdési és befejezési időpontja:</w:t>
      </w:r>
      <w:r w:rsidR="006929AB">
        <w:rPr>
          <w:sz w:val="26"/>
          <w:szCs w:val="26"/>
        </w:rPr>
        <w:t xml:space="preserve"> várhatóan</w:t>
      </w:r>
      <w:r w:rsidR="00CF438E">
        <w:rPr>
          <w:sz w:val="26"/>
          <w:szCs w:val="26"/>
        </w:rPr>
        <w:t xml:space="preserve"> </w:t>
      </w:r>
      <w:r>
        <w:rPr>
          <w:sz w:val="26"/>
          <w:szCs w:val="26"/>
        </w:rPr>
        <w:t xml:space="preserve"> 2019</w:t>
      </w:r>
      <w:r w:rsidR="006929AB">
        <w:rPr>
          <w:sz w:val="26"/>
          <w:szCs w:val="26"/>
        </w:rPr>
        <w:t>. június 1.-</w:t>
      </w:r>
      <w:r w:rsidR="00B75BF5">
        <w:rPr>
          <w:sz w:val="26"/>
          <w:szCs w:val="26"/>
        </w:rPr>
        <w:t xml:space="preserve"> </w:t>
      </w:r>
      <w:r w:rsidR="006929AB">
        <w:rPr>
          <w:sz w:val="26"/>
          <w:szCs w:val="26"/>
        </w:rPr>
        <w:t>2019</w:t>
      </w:r>
      <w:r>
        <w:rPr>
          <w:sz w:val="26"/>
          <w:szCs w:val="26"/>
        </w:rPr>
        <w:t>.</w:t>
      </w:r>
      <w:r w:rsidR="006929AB">
        <w:rPr>
          <w:sz w:val="26"/>
          <w:szCs w:val="26"/>
        </w:rPr>
        <w:t xml:space="preserve"> </w:t>
      </w:r>
      <w:r w:rsidR="00B75BF5">
        <w:rPr>
          <w:sz w:val="26"/>
          <w:szCs w:val="26"/>
        </w:rPr>
        <w:t>augusztus 30.</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CF438E" w:rsidRDefault="00CF438E" w:rsidP="00923389">
      <w:pPr>
        <w:ind w:left="360"/>
        <w:jc w:val="both"/>
        <w:rPr>
          <w:color w:val="FF0000"/>
          <w:sz w:val="26"/>
          <w:szCs w:val="26"/>
        </w:rPr>
      </w:pP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lastRenderedPageBreak/>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máju</w:t>
      </w:r>
      <w:r w:rsidRPr="00CF438E">
        <w:rPr>
          <w:sz w:val="26"/>
          <w:szCs w:val="26"/>
        </w:rPr>
        <w:t xml:space="preserve">s </w:t>
      </w:r>
      <w:r w:rsidR="00042FB7" w:rsidRPr="00CF438E">
        <w:rPr>
          <w:sz w:val="26"/>
          <w:szCs w:val="26"/>
        </w:rPr>
        <w:t>2.</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716970" w:rsidRDefault="007679EC" w:rsidP="00716970">
      <w:pPr>
        <w:pStyle w:val="Listaszerbekezds"/>
        <w:numPr>
          <w:ilvl w:val="0"/>
          <w:numId w:val="2"/>
        </w:numPr>
        <w:autoSpaceDE w:val="0"/>
        <w:autoSpaceDN w:val="0"/>
        <w:adjustRightInd w:val="0"/>
        <w:jc w:val="both"/>
        <w:rPr>
          <w:rFonts w:eastAsia="TimesNewRomanPS-ItalicMT"/>
          <w:iCs/>
          <w:color w:val="000000"/>
          <w:sz w:val="26"/>
          <w:szCs w:val="26"/>
        </w:rPr>
      </w:pPr>
      <w:r w:rsidRPr="00716970">
        <w:rPr>
          <w:sz w:val="26"/>
          <w:szCs w:val="26"/>
        </w:rPr>
        <w:t>„</w:t>
      </w:r>
      <w:r w:rsidR="00716970" w:rsidRPr="00716970">
        <w:rPr>
          <w:rFonts w:eastAsia="TimesNewRomanPS-ItalicMT"/>
          <w:iCs/>
          <w:color w:val="000000"/>
          <w:sz w:val="26"/>
          <w:szCs w:val="26"/>
        </w:rPr>
        <w:t>A Tiszaújvárosi Sportcentrum területén egyedi öntözőkút létesítése kútaknával, kútgépészettel, búvárszivattyúval, automata locsolórendszerre való csatlakozás kialakításával.”</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május</w:t>
      </w:r>
      <w:r w:rsidR="00C203AB" w:rsidRPr="00CF438E">
        <w:rPr>
          <w:sz w:val="26"/>
          <w:szCs w:val="26"/>
        </w:rPr>
        <w:t xml:space="preserve"> hó </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máju</w:t>
      </w:r>
      <w:r w:rsidRPr="00CF438E">
        <w:rPr>
          <w:sz w:val="26"/>
        </w:rPr>
        <w:t xml:space="preserve">s </w:t>
      </w:r>
      <w:r w:rsidR="00F95623" w:rsidRPr="00CF438E">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Pr="008262C4"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máju</w:t>
      </w:r>
      <w:r w:rsidR="005479EA" w:rsidRPr="00CF438E">
        <w:rPr>
          <w:sz w:val="26"/>
        </w:rPr>
        <w:t>s</w:t>
      </w:r>
      <w:r w:rsidR="009F0091" w:rsidRPr="00CF438E">
        <w:rPr>
          <w:sz w:val="26"/>
        </w:rPr>
        <w:t xml:space="preserve"> </w:t>
      </w:r>
      <w:r w:rsidR="00C25A95" w:rsidRPr="00CF438E">
        <w:rPr>
          <w:sz w:val="26"/>
        </w:rPr>
        <w:t xml:space="preserve">hó </w:t>
      </w:r>
      <w:r w:rsidR="00F95623" w:rsidRPr="00CF438E">
        <w:rPr>
          <w:sz w:val="26"/>
        </w:rPr>
        <w:t>7</w:t>
      </w:r>
      <w:r w:rsidR="00FC41C0">
        <w:rPr>
          <w:sz w:val="26"/>
        </w:rPr>
        <w:t>.</w:t>
      </w:r>
      <w:r w:rsidRPr="008262C4">
        <w:rPr>
          <w:sz w:val="26"/>
        </w:rPr>
        <w:t xml:space="preserve"> nap</w:t>
      </w:r>
    </w:p>
    <w:p w:rsidR="00B7332B" w:rsidRPr="008262C4" w:rsidRDefault="00B7332B" w:rsidP="00B7332B">
      <w:pPr>
        <w:pStyle w:val="lfej"/>
        <w:tabs>
          <w:tab w:val="clear" w:pos="4536"/>
          <w:tab w:val="clear" w:pos="9072"/>
          <w:tab w:val="left" w:pos="4860"/>
        </w:tabs>
        <w:jc w:val="both"/>
        <w:rPr>
          <w:b/>
          <w:sz w:val="26"/>
        </w:rPr>
      </w:pPr>
      <w:r w:rsidRPr="008262C4">
        <w:rPr>
          <w:b/>
          <w:sz w:val="26"/>
        </w:rPr>
        <w:lastRenderedPageBreak/>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B7332B" w:rsidRPr="00B7332B" w:rsidRDefault="00B75BF5" w:rsidP="00F1604F">
      <w:pPr>
        <w:pStyle w:val="lfej"/>
        <w:tabs>
          <w:tab w:val="clear" w:pos="4536"/>
          <w:tab w:val="clear" w:pos="9072"/>
          <w:tab w:val="left" w:pos="4860"/>
        </w:tabs>
        <w:jc w:val="both"/>
        <w:rPr>
          <w:sz w:val="26"/>
        </w:rPr>
      </w:pPr>
      <w:r>
        <w:rPr>
          <w:sz w:val="26"/>
        </w:rPr>
        <w:t>2019</w:t>
      </w:r>
      <w:r w:rsidR="00B7332B" w:rsidRPr="00B7332B">
        <w:rPr>
          <w:sz w:val="26"/>
        </w:rPr>
        <w:t>.</w:t>
      </w:r>
      <w:r>
        <w:rPr>
          <w:sz w:val="26"/>
        </w:rPr>
        <w:t xml:space="preserve"> május </w:t>
      </w:r>
      <w:r w:rsidR="00B7332B" w:rsidRPr="00B7332B">
        <w:rPr>
          <w:sz w:val="26"/>
        </w:rPr>
        <w:t xml:space="preserve">hó </w:t>
      </w:r>
      <w:r>
        <w:rPr>
          <w:sz w:val="26"/>
        </w:rPr>
        <w:t>31.</w:t>
      </w:r>
      <w:r w:rsidR="00B7332B" w:rsidRPr="00B7332B">
        <w:rPr>
          <w:sz w:val="26"/>
        </w:rPr>
        <w:t xml:space="preserve"> nap</w:t>
      </w:r>
      <w:r>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716970" w:rsidRPr="00716970" w:rsidRDefault="00716970" w:rsidP="00716970">
      <w:pPr>
        <w:autoSpaceDE w:val="0"/>
        <w:autoSpaceDN w:val="0"/>
        <w:adjustRightInd w:val="0"/>
        <w:rPr>
          <w:iCs/>
          <w:color w:val="000000"/>
          <w:sz w:val="26"/>
          <w:szCs w:val="26"/>
        </w:rPr>
      </w:pPr>
      <w:r w:rsidRPr="00716970">
        <w:rPr>
          <w:rFonts w:eastAsia="TimesNewRomanPS-ItalicMT"/>
          <w:iCs/>
          <w:color w:val="000000"/>
          <w:sz w:val="26"/>
          <w:szCs w:val="26"/>
        </w:rPr>
        <w:t xml:space="preserve">1.) Tervezés: </w:t>
      </w:r>
      <w:r w:rsidRPr="00716970">
        <w:rPr>
          <w:iCs/>
          <w:color w:val="000000"/>
          <w:sz w:val="26"/>
          <w:szCs w:val="26"/>
        </w:rPr>
        <w:t>mélyfúrású kút, kútakna, kútgépészet, tervdokumentáció összeállítása az alábbi</w:t>
      </w:r>
      <w:r>
        <w:rPr>
          <w:iCs/>
          <w:color w:val="000000"/>
          <w:sz w:val="26"/>
          <w:szCs w:val="26"/>
        </w:rPr>
        <w:t xml:space="preserve"> </w:t>
      </w:r>
      <w:r w:rsidRPr="00716970">
        <w:rPr>
          <w:iCs/>
          <w:color w:val="000000"/>
          <w:sz w:val="26"/>
          <w:szCs w:val="26"/>
        </w:rPr>
        <w:t>feladatok elvégzésével:</w:t>
      </w:r>
    </w:p>
    <w:p w:rsidR="00716970" w:rsidRP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Mélyfúrású kút tervi megjelenítése /helyszínrajz, kútszerkezet tervi megjelenítése/;</w:t>
      </w:r>
    </w:p>
    <w:p w:rsidR="00716970" w:rsidRP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 xml:space="preserve">Kútakna és a hozzá tartozó kútgépészet dokumentálása a jogszabályi előírások </w:t>
      </w:r>
      <w:r>
        <w:rPr>
          <w:rFonts w:eastAsia="TimesNewRomanPS-ItalicMT"/>
          <w:iCs/>
          <w:color w:val="000000"/>
          <w:sz w:val="26"/>
          <w:szCs w:val="26"/>
        </w:rPr>
        <w:t>s</w:t>
      </w:r>
      <w:r w:rsidRPr="00716970">
        <w:rPr>
          <w:rFonts w:eastAsia="TimesNewRomanPS-ItalicMT"/>
          <w:iCs/>
          <w:color w:val="000000"/>
          <w:sz w:val="26"/>
          <w:szCs w:val="26"/>
        </w:rPr>
        <w:t>zerint.</w:t>
      </w:r>
    </w:p>
    <w:p w:rsidR="00716970" w:rsidRP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Hatóságokkal történő egyeztetések elvégzése.</w:t>
      </w:r>
    </w:p>
    <w:p w:rsidR="00716970" w:rsidRP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Tulajdonosi és vagyonkezelői hozzájárulás beszerzése.</w:t>
      </w:r>
    </w:p>
    <w:p w:rsidR="00716970" w:rsidRP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Vízbeszerzési terv elkészítése.</w:t>
      </w:r>
    </w:p>
    <w:p w:rsidR="00716970" w:rsidRDefault="00716970" w:rsidP="00716970">
      <w:pPr>
        <w:autoSpaceDE w:val="0"/>
        <w:autoSpaceDN w:val="0"/>
        <w:adjustRightInd w:val="0"/>
        <w:rPr>
          <w:rFonts w:eastAsia="TimesNewRomanPS-ItalicMT"/>
          <w:iCs/>
          <w:color w:val="000000"/>
          <w:sz w:val="26"/>
          <w:szCs w:val="26"/>
        </w:rPr>
      </w:pPr>
      <w:r w:rsidRPr="00716970">
        <w:rPr>
          <w:rFonts w:eastAsia="SymbolMT"/>
          <w:color w:val="000000"/>
          <w:sz w:val="26"/>
          <w:szCs w:val="26"/>
        </w:rPr>
        <w:t xml:space="preserve">- </w:t>
      </w:r>
      <w:r w:rsidRPr="00716970">
        <w:rPr>
          <w:rFonts w:eastAsia="TimesNewRomanPS-ItalicMT"/>
          <w:iCs/>
          <w:color w:val="000000"/>
          <w:sz w:val="26"/>
          <w:szCs w:val="26"/>
        </w:rPr>
        <w:t>Műszaki dokumentáció összeállítása.</w:t>
      </w:r>
    </w:p>
    <w:p w:rsidR="00F24BF4" w:rsidRPr="00716970" w:rsidRDefault="00F24BF4" w:rsidP="00716970">
      <w:pPr>
        <w:autoSpaceDE w:val="0"/>
        <w:autoSpaceDN w:val="0"/>
        <w:adjustRightInd w:val="0"/>
        <w:rPr>
          <w:rFonts w:eastAsia="TimesNewRomanPS-ItalicMT"/>
          <w:iCs/>
          <w:color w:val="000000"/>
          <w:sz w:val="26"/>
          <w:szCs w:val="26"/>
        </w:rPr>
      </w:pPr>
      <w:r>
        <w:rPr>
          <w:rFonts w:eastAsia="TimesNewRomanPS-ItalicMT"/>
          <w:iCs/>
          <w:color w:val="000000"/>
          <w:sz w:val="26"/>
          <w:szCs w:val="26"/>
        </w:rPr>
        <w:t>- Engedélyezési folyamatok lebonyolítása.</w:t>
      </w:r>
    </w:p>
    <w:p w:rsidR="00716970" w:rsidRPr="00716970" w:rsidRDefault="00716970" w:rsidP="00716970">
      <w:pPr>
        <w:autoSpaceDE w:val="0"/>
        <w:autoSpaceDN w:val="0"/>
        <w:adjustRightInd w:val="0"/>
        <w:rPr>
          <w:rFonts w:eastAsia="TimesNewRomanPS-ItalicMT"/>
          <w:iCs/>
          <w:color w:val="000000"/>
          <w:sz w:val="26"/>
          <w:szCs w:val="26"/>
        </w:rPr>
      </w:pPr>
    </w:p>
    <w:p w:rsidR="00716970" w:rsidRPr="00716970" w:rsidRDefault="00716970" w:rsidP="00716970">
      <w:pPr>
        <w:autoSpaceDE w:val="0"/>
        <w:autoSpaceDN w:val="0"/>
        <w:adjustRightInd w:val="0"/>
        <w:jc w:val="both"/>
        <w:rPr>
          <w:rFonts w:eastAsia="TimesNewRomanPS-ItalicMT"/>
          <w:iCs/>
          <w:color w:val="000000"/>
          <w:sz w:val="26"/>
          <w:szCs w:val="26"/>
        </w:rPr>
      </w:pPr>
      <w:r w:rsidRPr="00716970">
        <w:rPr>
          <w:rFonts w:eastAsia="TimesNewRomanPS-ItalicMT"/>
          <w:iCs/>
          <w:color w:val="000000"/>
          <w:sz w:val="26"/>
          <w:szCs w:val="26"/>
        </w:rPr>
        <w:t>2.) Kút kivitelezése:</w:t>
      </w:r>
    </w:p>
    <w:p w:rsidR="00716970" w:rsidRPr="00716970" w:rsidRDefault="00716970" w:rsidP="00716970">
      <w:pPr>
        <w:autoSpaceDE w:val="0"/>
        <w:autoSpaceDN w:val="0"/>
        <w:adjustRightInd w:val="0"/>
        <w:jc w:val="both"/>
        <w:rPr>
          <w:rFonts w:eastAsia="TimesNewRomanPS-ItalicMT"/>
          <w:iCs/>
          <w:color w:val="000000"/>
          <w:sz w:val="26"/>
          <w:szCs w:val="26"/>
        </w:rPr>
      </w:pPr>
      <w:r w:rsidRPr="00716970">
        <w:rPr>
          <w:rFonts w:eastAsia="TimesNewRomanPS-ItalicMT"/>
          <w:iCs/>
          <w:color w:val="000000"/>
          <w:sz w:val="26"/>
          <w:szCs w:val="26"/>
        </w:rPr>
        <w:t>- 1 db sekély mélységű kút kivitelezése (ø324/310 acél iránycső/ø225/207 KM PVC), anyaggal és munkadíjjal 250-300 liter/perc előirányzott hozammal. A kút kivitelezése során elvégzésre kerülnek az alábbiak: fúróberendezés helyszínre szállítása, telepítése, keresőfúrás, teljes szelvényű fúrás, csövezés, kútkiképzés, tisztító kompresszorozással. A kút előirányzott mélysége 15 méter.</w:t>
      </w:r>
    </w:p>
    <w:p w:rsidR="00716970" w:rsidRPr="00716970" w:rsidRDefault="00716970" w:rsidP="00716970">
      <w:pPr>
        <w:autoSpaceDE w:val="0"/>
        <w:autoSpaceDN w:val="0"/>
        <w:adjustRightInd w:val="0"/>
        <w:jc w:val="both"/>
        <w:rPr>
          <w:rFonts w:eastAsia="TimesNewRomanPS-ItalicMT"/>
          <w:iCs/>
          <w:color w:val="000000"/>
          <w:sz w:val="26"/>
          <w:szCs w:val="26"/>
        </w:rPr>
      </w:pPr>
      <w:r w:rsidRPr="00716970">
        <w:rPr>
          <w:rFonts w:eastAsia="TimesNewRomanPS-ItalicMT"/>
          <w:iCs/>
          <w:color w:val="000000"/>
          <w:sz w:val="26"/>
          <w:szCs w:val="26"/>
        </w:rPr>
        <w:t xml:space="preserve">- Kútfej felsőrész és kútakna kialakítása: 1 db </w:t>
      </w:r>
      <w:proofErr w:type="spellStart"/>
      <w:r w:rsidRPr="00716970">
        <w:rPr>
          <w:rFonts w:eastAsia="TimesNewRomanPS-ItalicMT"/>
          <w:iCs/>
          <w:color w:val="000000"/>
          <w:sz w:val="26"/>
          <w:szCs w:val="26"/>
        </w:rPr>
        <w:t>előregyártott</w:t>
      </w:r>
      <w:proofErr w:type="spellEnd"/>
      <w:r w:rsidRPr="00716970">
        <w:rPr>
          <w:rFonts w:eastAsia="TimesNewRomanPS-ItalicMT"/>
          <w:iCs/>
          <w:color w:val="000000"/>
          <w:sz w:val="26"/>
          <w:szCs w:val="26"/>
        </w:rPr>
        <w:t xml:space="preserve"> vasbeton akna a szükséges gyűrűselemmel, vasbeton </w:t>
      </w:r>
      <w:proofErr w:type="spellStart"/>
      <w:r w:rsidRPr="00716970">
        <w:rPr>
          <w:rFonts w:eastAsia="TimesNewRomanPS-ItalicMT"/>
          <w:iCs/>
          <w:color w:val="000000"/>
          <w:sz w:val="26"/>
          <w:szCs w:val="26"/>
        </w:rPr>
        <w:t>fedlappal</w:t>
      </w:r>
      <w:proofErr w:type="spellEnd"/>
      <w:r w:rsidRPr="00716970">
        <w:rPr>
          <w:rFonts w:eastAsia="TimesNewRomanPS-ItalicMT"/>
          <w:iCs/>
          <w:color w:val="000000"/>
          <w:sz w:val="26"/>
          <w:szCs w:val="26"/>
        </w:rPr>
        <w:t xml:space="preserve">, </w:t>
      </w:r>
      <w:proofErr w:type="spellStart"/>
      <w:r w:rsidRPr="00716970">
        <w:rPr>
          <w:rFonts w:eastAsia="TimesNewRomanPS-ItalicMT"/>
          <w:iCs/>
          <w:color w:val="000000"/>
          <w:sz w:val="26"/>
          <w:szCs w:val="26"/>
        </w:rPr>
        <w:t>búvónyílással</w:t>
      </w:r>
      <w:proofErr w:type="spellEnd"/>
      <w:r w:rsidRPr="00716970">
        <w:rPr>
          <w:rFonts w:eastAsia="TimesNewRomanPS-ItalicMT"/>
          <w:iCs/>
          <w:color w:val="000000"/>
          <w:sz w:val="26"/>
          <w:szCs w:val="26"/>
        </w:rPr>
        <w:t xml:space="preserve">, 2,30 x 1,55 x 2,05 m </w:t>
      </w:r>
      <w:proofErr w:type="spellStart"/>
      <w:r w:rsidRPr="00716970">
        <w:rPr>
          <w:rFonts w:eastAsia="TimesNewRomanPS-ItalicMT"/>
          <w:iCs/>
          <w:color w:val="000000"/>
          <w:sz w:val="26"/>
          <w:szCs w:val="26"/>
        </w:rPr>
        <w:t>belméretű</w:t>
      </w:r>
      <w:proofErr w:type="spellEnd"/>
      <w:r w:rsidRPr="00716970">
        <w:rPr>
          <w:rFonts w:eastAsia="TimesNewRomanPS-ItalicMT"/>
          <w:iCs/>
          <w:color w:val="000000"/>
          <w:sz w:val="26"/>
          <w:szCs w:val="26"/>
        </w:rPr>
        <w:t>, nem vízzáró kivitelű</w:t>
      </w:r>
      <w:r w:rsidR="00FD205A">
        <w:rPr>
          <w:rFonts w:eastAsia="TimesNewRomanPS-ItalicMT"/>
          <w:iCs/>
          <w:color w:val="000000"/>
          <w:sz w:val="26"/>
          <w:szCs w:val="26"/>
        </w:rPr>
        <w:t>, mélyponti gyűjtőhely kialakításával</w:t>
      </w:r>
      <w:r w:rsidRPr="00716970">
        <w:rPr>
          <w:rFonts w:eastAsia="TimesNewRomanPS-ItalicMT"/>
          <w:iCs/>
          <w:color w:val="000000"/>
          <w:sz w:val="26"/>
          <w:szCs w:val="26"/>
        </w:rPr>
        <w:t>.</w:t>
      </w:r>
    </w:p>
    <w:p w:rsidR="00716970" w:rsidRPr="00716970" w:rsidRDefault="00716970" w:rsidP="00716970">
      <w:pPr>
        <w:autoSpaceDE w:val="0"/>
        <w:autoSpaceDN w:val="0"/>
        <w:adjustRightInd w:val="0"/>
        <w:jc w:val="both"/>
        <w:rPr>
          <w:rFonts w:eastAsia="TimesNewRomanPS-ItalicMT"/>
          <w:iCs/>
          <w:color w:val="000000"/>
          <w:sz w:val="26"/>
          <w:szCs w:val="26"/>
        </w:rPr>
      </w:pPr>
      <w:r w:rsidRPr="00716970">
        <w:rPr>
          <w:rFonts w:eastAsia="TimesNewRomanPS-ItalicMT"/>
          <w:iCs/>
          <w:color w:val="000000"/>
          <w:sz w:val="26"/>
          <w:szCs w:val="26"/>
        </w:rPr>
        <w:t xml:space="preserve">- Gépészeti berendezések, szivattyú és szerelvények kialakítása, szivattyú telepítése /búvárszivattyú műszaki paraméterei </w:t>
      </w:r>
      <w:proofErr w:type="spellStart"/>
      <w:r w:rsidRPr="00716970">
        <w:rPr>
          <w:rFonts w:eastAsia="TimesNewRomanPS-ItalicMT"/>
          <w:iCs/>
          <w:color w:val="000000"/>
          <w:sz w:val="26"/>
          <w:szCs w:val="26"/>
        </w:rPr>
        <w:t>Q</w:t>
      </w:r>
      <w:r w:rsidRPr="00716970">
        <w:rPr>
          <w:rFonts w:eastAsia="TimesNewRomanPS-ItalicMT"/>
          <w:iCs/>
          <w:color w:val="000000"/>
          <w:sz w:val="26"/>
          <w:szCs w:val="26"/>
          <w:vertAlign w:val="subscript"/>
        </w:rPr>
        <w:t>üzemi</w:t>
      </w:r>
      <w:proofErr w:type="spellEnd"/>
      <w:r w:rsidRPr="00716970">
        <w:rPr>
          <w:rFonts w:eastAsia="TimesNewRomanPS-ItalicMT"/>
          <w:iCs/>
          <w:color w:val="000000"/>
          <w:sz w:val="26"/>
          <w:szCs w:val="26"/>
          <w:vertAlign w:val="subscript"/>
        </w:rPr>
        <w:t xml:space="preserve"> </w:t>
      </w:r>
      <w:r w:rsidRPr="00716970">
        <w:rPr>
          <w:rFonts w:eastAsia="TimesNewRomanPS-ItalicMT"/>
          <w:iCs/>
          <w:color w:val="000000"/>
          <w:sz w:val="26"/>
          <w:szCs w:val="26"/>
        </w:rPr>
        <w:t xml:space="preserve">= 300 liter/perc; </w:t>
      </w:r>
      <w:proofErr w:type="spellStart"/>
      <w:r w:rsidRPr="00716970">
        <w:rPr>
          <w:rFonts w:eastAsia="TimesNewRomanPS-ItalicMT"/>
          <w:iCs/>
          <w:color w:val="000000"/>
          <w:sz w:val="26"/>
          <w:szCs w:val="26"/>
        </w:rPr>
        <w:t>H</w:t>
      </w:r>
      <w:r w:rsidRPr="00716970">
        <w:rPr>
          <w:rFonts w:eastAsia="TimesNewRomanPS-ItalicMT"/>
          <w:iCs/>
          <w:color w:val="000000"/>
          <w:sz w:val="26"/>
          <w:szCs w:val="26"/>
          <w:vertAlign w:val="subscript"/>
        </w:rPr>
        <w:t>üzemi</w:t>
      </w:r>
      <w:proofErr w:type="spellEnd"/>
      <w:r w:rsidRPr="00716970">
        <w:rPr>
          <w:rFonts w:eastAsia="TimesNewRomanPS-ItalicMT"/>
          <w:iCs/>
          <w:color w:val="000000"/>
          <w:sz w:val="26"/>
          <w:szCs w:val="26"/>
          <w:vertAlign w:val="subscript"/>
        </w:rPr>
        <w:t xml:space="preserve"> </w:t>
      </w:r>
      <w:r w:rsidRPr="00716970">
        <w:rPr>
          <w:rFonts w:eastAsia="TimesNewRomanPS-ItalicMT"/>
          <w:iCs/>
          <w:color w:val="000000"/>
          <w:sz w:val="26"/>
          <w:szCs w:val="26"/>
        </w:rPr>
        <w:t>= 90 méter/, elzáró szerelvénnyel, mintavételi csappal, vízórával, öntözőrendszerre történő rácsatlakozás kiépítésével.</w:t>
      </w:r>
    </w:p>
    <w:p w:rsidR="00716970" w:rsidRPr="00716970" w:rsidRDefault="00716970" w:rsidP="00716970">
      <w:pPr>
        <w:autoSpaceDE w:val="0"/>
        <w:autoSpaceDN w:val="0"/>
        <w:adjustRightInd w:val="0"/>
        <w:jc w:val="both"/>
        <w:rPr>
          <w:rFonts w:eastAsia="TimesNewRomanPS-ItalicMT"/>
          <w:iCs/>
          <w:color w:val="000000"/>
          <w:sz w:val="26"/>
          <w:szCs w:val="26"/>
        </w:rPr>
      </w:pPr>
      <w:r>
        <w:rPr>
          <w:rFonts w:eastAsia="TimesNewRomanPS-ItalicMT"/>
          <w:iCs/>
          <w:color w:val="000000"/>
          <w:sz w:val="26"/>
          <w:szCs w:val="26"/>
        </w:rPr>
        <w:t xml:space="preserve">- Kút </w:t>
      </w:r>
      <w:r w:rsidRPr="00716970">
        <w:rPr>
          <w:rFonts w:eastAsia="TimesNewRomanPS-ItalicMT"/>
          <w:iCs/>
          <w:color w:val="000000"/>
          <w:sz w:val="26"/>
          <w:szCs w:val="26"/>
        </w:rPr>
        <w:t xml:space="preserve">mérések, vizsgálatok elvégzése: Víztermelő kút geofizikai mérés, szűrőzendő szakaszok kijelölése, </w:t>
      </w:r>
      <w:proofErr w:type="spellStart"/>
      <w:r w:rsidRPr="00716970">
        <w:rPr>
          <w:rFonts w:eastAsia="TimesNewRomanPS-ItalicMT"/>
          <w:iCs/>
          <w:color w:val="000000"/>
          <w:sz w:val="26"/>
          <w:szCs w:val="26"/>
        </w:rPr>
        <w:t>karotázs</w:t>
      </w:r>
      <w:proofErr w:type="spellEnd"/>
      <w:r w:rsidRPr="00716970">
        <w:rPr>
          <w:rFonts w:eastAsia="TimesNewRomanPS-ItalicMT"/>
          <w:iCs/>
          <w:color w:val="000000"/>
          <w:sz w:val="26"/>
          <w:szCs w:val="26"/>
        </w:rPr>
        <w:t xml:space="preserve"> mérések, mérőautó felvonulási díja 2 alkalommal, akkreditált mintavétel és laboratóriumi vizsgálatok elvégzése, geodéziai mérés elvégzése, adatszolgáltatás vízföldtani naplóhoz.</w:t>
      </w:r>
    </w:p>
    <w:p w:rsidR="00716970" w:rsidRDefault="00716970" w:rsidP="00716970">
      <w:pPr>
        <w:autoSpaceDE w:val="0"/>
        <w:autoSpaceDN w:val="0"/>
        <w:adjustRightInd w:val="0"/>
        <w:rPr>
          <w:rFonts w:eastAsia="TimesNewRomanPS-ItalicMT"/>
          <w:iCs/>
          <w:color w:val="000000"/>
        </w:rPr>
      </w:pPr>
      <w:r>
        <w:rPr>
          <w:rFonts w:eastAsia="TimesNewRomanPS-ItalicMT"/>
          <w:iCs/>
          <w:color w:val="000000"/>
        </w:rPr>
        <w:t xml:space="preserve">  </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lastRenderedPageBreak/>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D426EB">
        <w:rPr>
          <w:sz w:val="26"/>
        </w:rPr>
        <w:t>április</w:t>
      </w:r>
      <w:r>
        <w:rPr>
          <w:sz w:val="26"/>
        </w:rPr>
        <w:t xml:space="preserve"> hó </w:t>
      </w:r>
      <w:r w:rsidR="00D426EB">
        <w:rPr>
          <w:sz w:val="26"/>
        </w:rPr>
        <w:t>26.</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4042BD" w:rsidP="004042BD">
      <w:pPr>
        <w:pStyle w:val="lfej"/>
        <w:tabs>
          <w:tab w:val="clear" w:pos="4536"/>
          <w:tab w:val="clear" w:pos="9072"/>
          <w:tab w:val="left" w:pos="4860"/>
        </w:tabs>
        <w:jc w:val="both"/>
        <w:rPr>
          <w:sz w:val="26"/>
          <w:szCs w:val="26"/>
        </w:rPr>
      </w:pPr>
      <w:r w:rsidRPr="00520A2D">
        <w:rPr>
          <w:sz w:val="26"/>
          <w:szCs w:val="26"/>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p>
    <w:p w:rsidR="006F3C6E" w:rsidRPr="00111C9F" w:rsidRDefault="006F3C6E" w:rsidP="006F3C6E">
      <w:pPr>
        <w:pStyle w:val="lfej"/>
        <w:tabs>
          <w:tab w:val="clear" w:pos="4536"/>
          <w:tab w:val="clear" w:pos="9072"/>
          <w:tab w:val="left" w:pos="4860"/>
          <w:tab w:val="center" w:pos="7655"/>
        </w:tabs>
        <w:jc w:val="both"/>
        <w:rPr>
          <w:b/>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5E0CAC" w:rsidRPr="001D246B">
        <w:rPr>
          <w:sz w:val="26"/>
        </w:rPr>
        <w:t>április</w:t>
      </w:r>
      <w:r w:rsidR="00951F5C" w:rsidRPr="001D246B">
        <w:rPr>
          <w:sz w:val="26"/>
        </w:rPr>
        <w:t xml:space="preserve"> hó </w:t>
      </w:r>
      <w:r w:rsidR="008302E0">
        <w:rPr>
          <w:sz w:val="26"/>
        </w:rPr>
        <w:t>1</w:t>
      </w:r>
      <w:r w:rsidR="000C74F3">
        <w:rPr>
          <w:sz w:val="26"/>
        </w:rPr>
        <w:t>8</w:t>
      </w:r>
      <w:bookmarkStart w:id="0" w:name="_GoBack"/>
      <w:bookmarkEnd w:id="0"/>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4042BD" w:rsidRDefault="004042BD" w:rsidP="004042BD">
      <w:pPr>
        <w:pStyle w:val="lfej"/>
        <w:tabs>
          <w:tab w:val="clear" w:pos="4536"/>
          <w:tab w:val="clear" w:pos="9072"/>
          <w:tab w:val="left" w:pos="4860"/>
        </w:tabs>
        <w:jc w:val="both"/>
        <w:rPr>
          <w:sz w:val="26"/>
        </w:rPr>
      </w:pPr>
    </w:p>
    <w:p w:rsidR="004042BD" w:rsidRDefault="004042BD"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FC11E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0C74F3">
          <w:rPr>
            <w:noProof/>
          </w:rPr>
          <w:t>6</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5">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9">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10"/>
  </w:num>
  <w:num w:numId="4">
    <w:abstractNumId w:val="17"/>
  </w:num>
  <w:num w:numId="5">
    <w:abstractNumId w:val="12"/>
  </w:num>
  <w:num w:numId="6">
    <w:abstractNumId w:val="28"/>
  </w:num>
  <w:num w:numId="7">
    <w:abstractNumId w:val="2"/>
  </w:num>
  <w:num w:numId="8">
    <w:abstractNumId w:val="18"/>
  </w:num>
  <w:num w:numId="9">
    <w:abstractNumId w:val="7"/>
  </w:num>
  <w:num w:numId="10">
    <w:abstractNumId w:val="5"/>
  </w:num>
  <w:num w:numId="11">
    <w:abstractNumId w:val="1"/>
  </w:num>
  <w:num w:numId="12">
    <w:abstractNumId w:val="22"/>
  </w:num>
  <w:num w:numId="13">
    <w:abstractNumId w:val="19"/>
  </w:num>
  <w:num w:numId="14">
    <w:abstractNumId w:val="6"/>
  </w:num>
  <w:num w:numId="15">
    <w:abstractNumId w:val="4"/>
  </w:num>
  <w:num w:numId="16">
    <w:abstractNumId w:val="25"/>
  </w:num>
  <w:num w:numId="17">
    <w:abstractNumId w:val="11"/>
  </w:num>
  <w:num w:numId="18">
    <w:abstractNumId w:val="13"/>
  </w:num>
  <w:num w:numId="19">
    <w:abstractNumId w:val="20"/>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7"/>
  </w:num>
  <w:num w:numId="28">
    <w:abstractNumId w:val="9"/>
  </w:num>
  <w:num w:numId="29">
    <w:abstractNumId w:val="24"/>
  </w:num>
  <w:num w:numId="30">
    <w:abstractNumId w:val="9"/>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34AD"/>
    <w:rsid w:val="00296B12"/>
    <w:rsid w:val="00296F7E"/>
    <w:rsid w:val="002A3008"/>
    <w:rsid w:val="002C1B20"/>
    <w:rsid w:val="002D5644"/>
    <w:rsid w:val="002D5673"/>
    <w:rsid w:val="003012C7"/>
    <w:rsid w:val="00303D34"/>
    <w:rsid w:val="00305C96"/>
    <w:rsid w:val="00307D03"/>
    <w:rsid w:val="0032525A"/>
    <w:rsid w:val="0035675C"/>
    <w:rsid w:val="00372CB1"/>
    <w:rsid w:val="003773F5"/>
    <w:rsid w:val="00391516"/>
    <w:rsid w:val="003F32BA"/>
    <w:rsid w:val="003F4C33"/>
    <w:rsid w:val="004042BD"/>
    <w:rsid w:val="00415FA2"/>
    <w:rsid w:val="00440129"/>
    <w:rsid w:val="00440AFC"/>
    <w:rsid w:val="00454B11"/>
    <w:rsid w:val="00482268"/>
    <w:rsid w:val="004877D8"/>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332B"/>
    <w:rsid w:val="00B75B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8261B"/>
    <w:rsid w:val="00DD46BC"/>
    <w:rsid w:val="00DE3423"/>
    <w:rsid w:val="00E1613F"/>
    <w:rsid w:val="00E672F3"/>
    <w:rsid w:val="00E674D5"/>
    <w:rsid w:val="00E75C52"/>
    <w:rsid w:val="00E75D75"/>
    <w:rsid w:val="00E7639A"/>
    <w:rsid w:val="00E968B7"/>
    <w:rsid w:val="00EA258E"/>
    <w:rsid w:val="00EA3638"/>
    <w:rsid w:val="00EC30BA"/>
    <w:rsid w:val="00EC7740"/>
    <w:rsid w:val="00EE3CF1"/>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0476-F449-4AD3-B0CC-A39F6639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2080</Words>
  <Characters>14358</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16</cp:revision>
  <cp:lastPrinted>2019-04-08T08:35:00Z</cp:lastPrinted>
  <dcterms:created xsi:type="dcterms:W3CDTF">2019-04-10T13:30:00Z</dcterms:created>
  <dcterms:modified xsi:type="dcterms:W3CDTF">2019-04-18T05:37:00Z</dcterms:modified>
</cp:coreProperties>
</file>